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39BD355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6AFFABE6" w:rsidR="00314340" w:rsidRPr="00F64DF5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C160A0" w:rsidRPr="00C160A0">
        <w:rPr>
          <w:b/>
          <w:sz w:val="16"/>
        </w:rPr>
        <w:t>Савиной Ирины Алексеевны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362AEE"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="00C160A0" w:rsidRPr="00C160A0">
        <w:rPr>
          <w:bCs/>
          <w:sz w:val="16"/>
        </w:rPr>
        <w:t>Московской области от 15.08.2025 г. (резолютивная часть объявлена 19.02.2025 г.) по делу No А41-67381/2023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503054DE" w14:textId="77777777" w:rsidR="00C160A0" w:rsidRDefault="00F64DF5" w:rsidP="00C160A0">
      <w:pPr>
        <w:pStyle w:val="1"/>
        <w:ind w:left="207"/>
      </w:pPr>
      <w:r>
        <w:t xml:space="preserve">Лот 1: </w:t>
      </w:r>
      <w:r w:rsidR="00C160A0">
        <w:t xml:space="preserve">- Земельный участок, кадастровый номер: 50:34:0040202:60, площадью 1500 (одна тысяча пятьсот) </w:t>
      </w:r>
      <w:proofErr w:type="spellStart"/>
      <w:r w:rsidR="00C160A0">
        <w:t>кв.м</w:t>
      </w:r>
      <w:proofErr w:type="spellEnd"/>
      <w:r w:rsidR="00C160A0">
        <w:t xml:space="preserve">., категория земель: земли населенных пунктов, виды разрешенного использования: для индивидуального жилого строительства, местоположение: Московская область, р-н Коломенский, с. </w:t>
      </w:r>
      <w:proofErr w:type="spellStart"/>
      <w:r w:rsidR="00C160A0">
        <w:t>Лукерьино</w:t>
      </w:r>
      <w:proofErr w:type="spellEnd"/>
      <w:r w:rsidR="00C160A0">
        <w:t xml:space="preserve">, дом 10-а (десять-а); </w:t>
      </w:r>
    </w:p>
    <w:p w14:paraId="2DCC3F7C" w14:textId="110B7AAD" w:rsidR="00314340" w:rsidRDefault="00C160A0" w:rsidP="00C160A0">
      <w:pPr>
        <w:pStyle w:val="1"/>
        <w:ind w:left="207"/>
      </w:pPr>
      <w:r>
        <w:t xml:space="preserve">    </w:t>
      </w:r>
      <w:r>
        <w:t xml:space="preserve">- Здание – жилой дом, назначение: жилое, кадастровый номер: 50:34:0040202:1172, площадь 321,1 (триста двадцать одна целая одна десятая) </w:t>
      </w:r>
      <w:proofErr w:type="spellStart"/>
      <w:r>
        <w:t>кв.м</w:t>
      </w:r>
      <w:proofErr w:type="spellEnd"/>
      <w:r>
        <w:t xml:space="preserve">., количество этажей 2 (два), в том числе подземных 0, местоположение: Московская область, р-н Коломенский, с. </w:t>
      </w:r>
      <w:proofErr w:type="spellStart"/>
      <w:r>
        <w:t>Лукерьино</w:t>
      </w:r>
      <w:proofErr w:type="spellEnd"/>
      <w:r>
        <w:t>, дом 10-а (десять-а)</w:t>
      </w:r>
      <w:r>
        <w:t xml:space="preserve">. </w:t>
      </w:r>
      <w:r>
        <w:t>Ограничение прав и обременение объекта недвижимости: Прочие ограничения прав и обременения объекта Недвижимости, Ипотека</w:t>
      </w:r>
      <w:r w:rsidR="00866CFC">
        <w:t xml:space="preserve"> </w:t>
      </w:r>
      <w:r w:rsidR="00B3725A">
        <w:rPr>
          <w:color w:val="333333"/>
        </w:rPr>
        <w:t>перечисляет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на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расчетный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счет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Организатора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торгов,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указанный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в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сообщении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проведении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торгов,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денежные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средства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(</w:t>
      </w:r>
      <w:r>
        <w:rPr>
          <w:color w:val="333333"/>
        </w:rPr>
        <w:t>20</w:t>
      </w:r>
      <w:r w:rsidR="00B3725A">
        <w:rPr>
          <w:color w:val="333333"/>
        </w:rPr>
        <w:t>%)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начальной</w:t>
      </w:r>
      <w:r w:rsidR="00B3725A">
        <w:rPr>
          <w:rFonts w:ascii="Microsoft Sans Serif" w:hAnsi="Microsoft Sans Serif"/>
          <w:color w:val="333333"/>
        </w:rPr>
        <w:t xml:space="preserve">̆ </w:t>
      </w:r>
      <w:r w:rsidR="00B3725A">
        <w:rPr>
          <w:color w:val="333333"/>
        </w:rPr>
        <w:t>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08F41C0F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C160A0" w:rsidRPr="00C160A0">
              <w:rPr>
                <w:b/>
                <w:sz w:val="16"/>
              </w:rPr>
              <w:t>Савиной Ирины Алексеевны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4AEEC6A2" w:rsidR="00314340" w:rsidRDefault="00C160A0">
            <w:pPr>
              <w:pStyle w:val="TableParagraph"/>
              <w:rPr>
                <w:b/>
                <w:sz w:val="16"/>
              </w:rPr>
            </w:pPr>
            <w:r w:rsidRPr="00C160A0">
              <w:rPr>
                <w:b/>
                <w:sz w:val="16"/>
              </w:rPr>
              <w:t>Савиной Ирины Алексеевны</w:t>
            </w:r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314340"/>
    <w:rsid w:val="00362AEE"/>
    <w:rsid w:val="00581191"/>
    <w:rsid w:val="00866CFC"/>
    <w:rsid w:val="00954A81"/>
    <w:rsid w:val="00A1655B"/>
    <w:rsid w:val="00B3725A"/>
    <w:rsid w:val="00C160A0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4</cp:revision>
  <dcterms:created xsi:type="dcterms:W3CDTF">2025-09-02T18:26:00Z</dcterms:created>
  <dcterms:modified xsi:type="dcterms:W3CDTF">2025-09-02T18:29:00Z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